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tbl>
      <w:tblPr>
        <w:tblStyle w:val="3"/>
        <w:tblW w:w="135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6926"/>
        <w:gridCol w:w="2663"/>
        <w:gridCol w:w="212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5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52"/>
                <w:szCs w:val="5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52"/>
                <w:szCs w:val="52"/>
                <w:highlight w:val="none"/>
                <w:u w:val="none"/>
                <w:lang w:val="en-US" w:eastAsia="zh-CN" w:bidi="ar"/>
              </w:rPr>
              <w:t>陕西省守信激励措施清单（2022年版）（征求意见稿）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激励措施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激励对象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在注册登记、行政许可、政务服务、资质等级评定等工作中，予以容缺受理、优先办理、简化流程、告知承诺、绿色通道等便利措施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纳入守信激励对象名单的自然人、法人和非法人组织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各级各有关部门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在政府采购、药品和医疗器械采购、土地使用权和矿业权出让、工程建设项目招投标等公共资源交易活动中，予以信用加分或提升信用等级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发展改革、财政、自然资源、住房和城乡建设、交通运输、水利、工业和信息化、卫生健康、药品监管等各有关部门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在商品采购、购买社会服务、委托中介服务事项、委托课题研究、评聘专家等工作中，同等条件下予以优先选择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纳入守信激励对象名单的自然人、法人和非法人组织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各级各有关部门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参与政府投资或者政府与社会资本合作的建设项目，予以减免保证金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各级各有关部门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在实施政府性资金项目安排、财政性资金补助以及其他资源配置工作中，同等条件下予以优先考虑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纳入守信激励对象名单的自然人、法人和非法人组织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发展改革、财政、工业和信息化、自然资源、交通运输、能源等各有关部门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在政府优惠政策实施中，同等条件下列为优先选择对象或者予以重点支持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纳入守信激励对象名单的自然人、法人和非法人组织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各级各有关部门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在企业债券发行工作中，同等条件下优先办理，提供便利化服务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发展改革部门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给予促进外贸投资支持，在参加经贸展览会、论坛、洽谈会，提供法律顾问、商事调解、商事出证认证等方面予以优先、优惠和便利化服务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贸促会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享受海关进出口优先办理手续、简化流程等便利化措施，优先开展信用培育或提供相关培训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西安海关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市场主体创新创业过程中，优先给予经费支持、创业培训、孵化培育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纳入守信激励对象名单的自然人、法人和非法人组织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各级各有关部门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在行政检查中简化检查方式，降低抽查、检查比例和频次，更多适用非现场检查方式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各级各有关部门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在公共信用综合评价或者行业信用评价中，予以适当加分、提升信用等级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发展改革部门、各行业主管部门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在各级信用门户网站和相关媒体上进行宣传推介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纳入守信激励对象名单的自然人、法人和非法人组织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宣传部门、各级信用建设牵头部门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在教育培训、就业推荐等工作中，同等条件下优先安排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教育部门、人力资源和社会保障部门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在企事业单位招聘工作中，同等条件下优先聘用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人力资源和社会保障部门以及其他各用人单位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对公有住房、公共租赁住房（廉租住房）租金征收时，适当降低或减免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住房和城乡建设部门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将相关信息推送给银行、保险、证券等金融机构查询使用，鼓励金融机构依法依规给予贷款利率、财产保费优惠，在投融资、授信、贷款、保荐、承销、保险等服务中提供便利化服务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纳入守信激励对象名单的自然人、法人和非法人组织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银保监局、证监局、人民银行、地方金融监管部门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鼓励有条件的医院，在医保支付范围开辟先诊疗后付费绿色通道，减免部分医疗费用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卫生健康部门、医疗保障部门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鼓励行业协会、商会等社会团体在吸收会员或提供服务时给予优先、优惠，在相关信用评价活动中适当加分；优先提供咨询和支持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纳入守信激励对象名单的自然人、法人和非法人组织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民政部门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鼓励博物馆、公共图书馆、文化馆、美术馆、体育场馆等公共文化设施和公园、旅游景点、酒店等文化旅游场所，给予免票游览、免费使用或价格优惠、免押金等便利服务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文化旅游、体育、文物、科协等各有关部门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鼓励铁路、公路、水路、民航等运输服务企业给予优先优惠和便利化措施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纳入守信激励对象名单的法人和非法人组织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交通运输部门及各有关单位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鼓励铁路、民航、公交等公共交通运输企业以及共享交通服务机构，给予优先、购票优惠或其他便利化服务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交通运输部门及各有关单位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鼓励健康医疗、教育培训、家政养老等公共服务机构，给予优先、优惠或其他便利化服务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卫生健康、教育、民政、商务等各有关部门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鼓励餐饮、住宿、娱乐、休闲、购物、服务等各类商业机构，给予免押金、先消费后付款、价格折扣、服务升级、服务优先、无条件退换货等便利化服务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纳入守信激励对象名单的自然人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市场监管、文化旅游、商务等各有关部门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17" w:right="1587" w:bottom="141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MWY0MDQ4Mjg4NDIzMzRmZjcxNjM5NzlmMjBlY2EifQ=="/>
  </w:docVars>
  <w:rsids>
    <w:rsidRoot w:val="00000000"/>
    <w:rsid w:val="01C2089B"/>
    <w:rsid w:val="05866AE2"/>
    <w:rsid w:val="081C7068"/>
    <w:rsid w:val="16CC0FFD"/>
    <w:rsid w:val="23DB44EE"/>
    <w:rsid w:val="246538F6"/>
    <w:rsid w:val="26EF591E"/>
    <w:rsid w:val="2DBD0538"/>
    <w:rsid w:val="2F6F32D1"/>
    <w:rsid w:val="38066989"/>
    <w:rsid w:val="3CFF1625"/>
    <w:rsid w:val="3D0D4206"/>
    <w:rsid w:val="45A27780"/>
    <w:rsid w:val="4B4E788D"/>
    <w:rsid w:val="517D389A"/>
    <w:rsid w:val="5B081EB9"/>
    <w:rsid w:val="5D9E66B4"/>
    <w:rsid w:val="69E02D52"/>
    <w:rsid w:val="6CDC6D15"/>
    <w:rsid w:val="6DDD2277"/>
    <w:rsid w:val="721D325A"/>
    <w:rsid w:val="7D7911C7"/>
    <w:rsid w:val="F6E7B1DD"/>
    <w:rsid w:val="F7E7A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00" w:lineRule="exact"/>
      <w:outlineLvl w:val="1"/>
    </w:pPr>
    <w:rPr>
      <w:rFonts w:ascii="Arial" w:hAnsi="Arial" w:eastAsia="宋体" w:cs="Times New Roman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4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1870</Words>
  <Characters>1888</Characters>
  <Lines>0</Lines>
  <Paragraphs>0</Paragraphs>
  <TotalTime>5</TotalTime>
  <ScaleCrop>false</ScaleCrop>
  <LinksUpToDate>false</LinksUpToDate>
  <CharactersWithSpaces>1888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2021-08-12T09:15:00Z</dcterms:created>
  <dc:creator>Administrator.SKY-20200120XMU</dc:creator>
  <cp:lastModifiedBy>guest</cp:lastModifiedBy>
  <cp:lastPrinted>2023-01-12T11:13:58Z</cp:lastPrinted>
  <dcterms:modified xsi:type="dcterms:W3CDTF">2023-01-13T09:40:33Z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443FABA02F8E45D7B153C2E77E6159A1</vt:lpwstr>
  </property>
</Properties>
</file>